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A72" w:rsidRDefault="00946C80">
      <w:pPr>
        <w:spacing w:after="0"/>
        <w:jc w:val="center"/>
        <w:rPr>
          <w:b/>
          <w:sz w:val="24"/>
          <w:szCs w:val="24"/>
        </w:rPr>
      </w:pPr>
      <w:bookmarkStart w:id="0" w:name="_heading=h.gjdgxs" w:colFirst="0" w:colLast="0"/>
      <w:bookmarkEnd w:id="0"/>
      <w:r>
        <w:rPr>
          <w:b/>
          <w:sz w:val="24"/>
          <w:szCs w:val="24"/>
        </w:rPr>
        <w:t>Continuum of Care Advisory Board</w:t>
      </w:r>
    </w:p>
    <w:p w:rsidR="00D97A72" w:rsidRDefault="00946C80">
      <w:pPr>
        <w:spacing w:after="0"/>
        <w:jc w:val="center"/>
        <w:rPr>
          <w:b/>
          <w:sz w:val="24"/>
          <w:szCs w:val="24"/>
        </w:rPr>
      </w:pPr>
      <w:r>
        <w:rPr>
          <w:b/>
          <w:sz w:val="24"/>
          <w:szCs w:val="24"/>
        </w:rPr>
        <w:t>Governance Advisory Committee</w:t>
      </w:r>
    </w:p>
    <w:p w:rsidR="00D97A72" w:rsidRDefault="00946C80">
      <w:pPr>
        <w:jc w:val="center"/>
        <w:rPr>
          <w:b/>
          <w:sz w:val="24"/>
          <w:szCs w:val="24"/>
        </w:rPr>
      </w:pPr>
      <w:r>
        <w:rPr>
          <w:b/>
          <w:sz w:val="24"/>
          <w:szCs w:val="24"/>
        </w:rPr>
        <w:t xml:space="preserve">Summary of 2023 Governance Charter Changes </w:t>
      </w:r>
    </w:p>
    <w:p w:rsidR="00D97A72" w:rsidRDefault="00D97A72">
      <w:pPr>
        <w:rPr>
          <w:b/>
          <w:i/>
        </w:rPr>
      </w:pPr>
    </w:p>
    <w:tbl>
      <w:tblPr>
        <w:tblStyle w:val="a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0256"/>
      </w:tblGrid>
      <w:tr w:rsidR="00D97A72">
        <w:trPr>
          <w:tblHeader/>
        </w:trPr>
        <w:tc>
          <w:tcPr>
            <w:tcW w:w="2694" w:type="dxa"/>
            <w:shd w:val="clear" w:color="auto" w:fill="146B9E"/>
            <w:vAlign w:val="center"/>
          </w:tcPr>
          <w:p w:rsidR="00D97A72" w:rsidRDefault="00946C80">
            <w:pPr>
              <w:jc w:val="center"/>
              <w:rPr>
                <w:b/>
                <w:color w:val="FFFFFF"/>
              </w:rPr>
            </w:pPr>
            <w:r>
              <w:rPr>
                <w:b/>
                <w:color w:val="FFFFFF"/>
              </w:rPr>
              <w:t>Section</w:t>
            </w:r>
          </w:p>
        </w:tc>
        <w:tc>
          <w:tcPr>
            <w:tcW w:w="10256" w:type="dxa"/>
            <w:shd w:val="clear" w:color="auto" w:fill="146B9E"/>
            <w:vAlign w:val="center"/>
          </w:tcPr>
          <w:p w:rsidR="00D97A72" w:rsidRDefault="00946C80">
            <w:pPr>
              <w:jc w:val="center"/>
              <w:rPr>
                <w:b/>
                <w:color w:val="FFFFFF"/>
              </w:rPr>
            </w:pPr>
            <w:r>
              <w:rPr>
                <w:b/>
                <w:color w:val="FFFFFF"/>
              </w:rPr>
              <w:t>Proposed Change</w:t>
            </w:r>
          </w:p>
        </w:tc>
      </w:tr>
      <w:tr w:rsidR="00D97A72">
        <w:tc>
          <w:tcPr>
            <w:tcW w:w="2694" w:type="dxa"/>
          </w:tcPr>
          <w:p w:rsidR="00D97A72" w:rsidRDefault="00946C80">
            <w:r>
              <w:t>Throughout Document</w:t>
            </w:r>
          </w:p>
        </w:tc>
        <w:tc>
          <w:tcPr>
            <w:tcW w:w="10256" w:type="dxa"/>
          </w:tcPr>
          <w:p w:rsidR="00D97A72" w:rsidRDefault="00946C80">
            <w:r>
              <w:t xml:space="preserve">Updated the name of the Board from the Continuum of Care’s </w:t>
            </w:r>
            <w:r>
              <w:rPr>
                <w:i/>
              </w:rPr>
              <w:t xml:space="preserve">Advisory </w:t>
            </w:r>
            <w:r>
              <w:t>Board, to the Continuum of Care Board</w:t>
            </w:r>
          </w:p>
        </w:tc>
      </w:tr>
      <w:tr w:rsidR="00D97A72">
        <w:tc>
          <w:tcPr>
            <w:tcW w:w="2694" w:type="dxa"/>
          </w:tcPr>
          <w:p w:rsidR="00D97A72" w:rsidRDefault="00946C80">
            <w:r>
              <w:t>Version #</w:t>
            </w:r>
          </w:p>
        </w:tc>
        <w:tc>
          <w:tcPr>
            <w:tcW w:w="10256" w:type="dxa"/>
          </w:tcPr>
          <w:p w:rsidR="00D97A72" w:rsidRDefault="00946C80">
            <w:r>
              <w:t>Update to Version 9.0 from 8.0</w:t>
            </w:r>
          </w:p>
        </w:tc>
      </w:tr>
      <w:tr w:rsidR="00D97A72">
        <w:tc>
          <w:tcPr>
            <w:tcW w:w="2694" w:type="dxa"/>
          </w:tcPr>
          <w:p w:rsidR="00D97A72" w:rsidRDefault="00946C80">
            <w:r>
              <w:t>Introduction</w:t>
            </w:r>
          </w:p>
        </w:tc>
        <w:tc>
          <w:tcPr>
            <w:tcW w:w="10256" w:type="dxa"/>
          </w:tcPr>
          <w:p w:rsidR="00D97A72" w:rsidRDefault="00946C80">
            <w:pPr>
              <w:numPr>
                <w:ilvl w:val="0"/>
                <w:numId w:val="12"/>
              </w:numPr>
              <w:pBdr>
                <w:top w:val="nil"/>
                <w:left w:val="nil"/>
                <w:bottom w:val="nil"/>
                <w:right w:val="nil"/>
                <w:between w:val="nil"/>
              </w:pBdr>
              <w:spacing w:line="259" w:lineRule="auto"/>
            </w:pPr>
            <w:r>
              <w:t>1st paragraph:  Changed “organization” to “Continuum of Care”</w:t>
            </w:r>
          </w:p>
          <w:p w:rsidR="00D97A72" w:rsidRDefault="00946C80">
            <w:pPr>
              <w:numPr>
                <w:ilvl w:val="0"/>
                <w:numId w:val="12"/>
              </w:numPr>
              <w:pBdr>
                <w:top w:val="nil"/>
                <w:left w:val="nil"/>
                <w:bottom w:val="nil"/>
                <w:right w:val="nil"/>
                <w:between w:val="nil"/>
              </w:pBdr>
              <w:spacing w:line="259" w:lineRule="auto"/>
            </w:pPr>
            <w:r>
              <w:t>3rd paragraph:  Specified “HUD-designated”</w:t>
            </w:r>
          </w:p>
        </w:tc>
      </w:tr>
      <w:tr w:rsidR="00D97A72">
        <w:tc>
          <w:tcPr>
            <w:tcW w:w="2694" w:type="dxa"/>
          </w:tcPr>
          <w:p w:rsidR="00D97A72" w:rsidRDefault="00946C80">
            <w:r>
              <w:t>Geographic Boundaries</w:t>
            </w:r>
          </w:p>
        </w:tc>
        <w:tc>
          <w:tcPr>
            <w:tcW w:w="10256" w:type="dxa"/>
          </w:tcPr>
          <w:p w:rsidR="00D97A72" w:rsidRDefault="00946C80">
            <w:r>
              <w:t>Last sentence:  Replaced “subdivisions” with “sub-regional areas”, and removed “within the Region”</w:t>
            </w:r>
          </w:p>
        </w:tc>
      </w:tr>
      <w:tr w:rsidR="00D97A72">
        <w:tc>
          <w:tcPr>
            <w:tcW w:w="2694" w:type="dxa"/>
          </w:tcPr>
          <w:p w:rsidR="00D97A72" w:rsidRDefault="00946C80">
            <w:r>
              <w:t>Risks</w:t>
            </w:r>
          </w:p>
        </w:tc>
        <w:tc>
          <w:tcPr>
            <w:tcW w:w="10256" w:type="dxa"/>
          </w:tcPr>
          <w:p w:rsidR="00D97A72" w:rsidRDefault="00946C80">
            <w:pPr>
              <w:numPr>
                <w:ilvl w:val="0"/>
                <w:numId w:val="5"/>
              </w:numPr>
              <w:ind w:left="360"/>
            </w:pPr>
            <w:r>
              <w:t xml:space="preserve">In reference to the impact of reputational damage by non-compliance with federal regulations, replaced “Continuum of Care” with “Region” </w:t>
            </w:r>
            <w:r>
              <w:rPr>
                <w:color w:val="A61C00"/>
              </w:rPr>
              <w:t xml:space="preserve"> </w:t>
            </w:r>
          </w:p>
          <w:p w:rsidR="00D97A72" w:rsidRDefault="00946C80">
            <w:pPr>
              <w:numPr>
                <w:ilvl w:val="0"/>
                <w:numId w:val="5"/>
              </w:numPr>
              <w:ind w:left="360"/>
            </w:pPr>
            <w:r>
              <w:t xml:space="preserve">Removed language related to reputational damage to the continuum of care and RTFH’s role as a backbone organization to ensure effective implementation of the Charter </w:t>
            </w:r>
          </w:p>
        </w:tc>
      </w:tr>
      <w:tr w:rsidR="00D97A72">
        <w:tc>
          <w:tcPr>
            <w:tcW w:w="2694" w:type="dxa"/>
            <w:shd w:val="clear" w:color="auto" w:fill="auto"/>
          </w:tcPr>
          <w:p w:rsidR="00D97A72" w:rsidRDefault="00946C80">
            <w:r>
              <w:t>Purpose</w:t>
            </w:r>
          </w:p>
        </w:tc>
        <w:tc>
          <w:tcPr>
            <w:tcW w:w="10256" w:type="dxa"/>
            <w:shd w:val="clear" w:color="auto" w:fill="auto"/>
          </w:tcPr>
          <w:p w:rsidR="00D97A72" w:rsidRDefault="00946C80">
            <w:pPr>
              <w:numPr>
                <w:ilvl w:val="0"/>
                <w:numId w:val="6"/>
              </w:numPr>
              <w:ind w:left="360"/>
            </w:pPr>
            <w:r>
              <w:t xml:space="preserve">Specified in the first sentence that the purpose of the Continuum of Care is to establish a Board and to </w:t>
            </w:r>
            <w:r>
              <w:rPr>
                <w:i/>
              </w:rPr>
              <w:t>plan for how the region will achieve the requirements as specified by HEARTH….</w:t>
            </w:r>
          </w:p>
          <w:p w:rsidR="00D97A72" w:rsidRDefault="00946C80">
            <w:pPr>
              <w:numPr>
                <w:ilvl w:val="0"/>
                <w:numId w:val="6"/>
              </w:numPr>
              <w:ind w:left="360"/>
            </w:pPr>
            <w:r>
              <w:t xml:space="preserve">Replaced “Develop plans to fulfill the mission of ending homelessness for all individuals, youth and families throughout the Region” with “Implement the </w:t>
            </w:r>
            <w:r>
              <w:rPr>
                <w:i/>
                <w:u w:val="single"/>
              </w:rPr>
              <w:t xml:space="preserve">Regional Community Action Plan to Prevent and End Homelessness in San Diego, </w:t>
            </w:r>
            <w:r>
              <w:t>and evaluate the achievement of measures set forth in the Plan”</w:t>
            </w:r>
          </w:p>
          <w:p w:rsidR="00D97A72" w:rsidRDefault="00946C80">
            <w:pPr>
              <w:numPr>
                <w:ilvl w:val="0"/>
                <w:numId w:val="6"/>
              </w:numPr>
              <w:ind w:left="360"/>
            </w:pPr>
            <w:r>
              <w:t xml:space="preserve">Created a new section “Role of Lead Agency” to distinguish between the broader purpose areas of the Board and the operational role of the Lead Agency. </w:t>
            </w:r>
          </w:p>
          <w:p w:rsidR="00D97A72" w:rsidRDefault="00946C80">
            <w:pPr>
              <w:numPr>
                <w:ilvl w:val="0"/>
                <w:numId w:val="6"/>
              </w:numPr>
              <w:ind w:left="360"/>
            </w:pPr>
            <w:r>
              <w:t xml:space="preserve">Within the “Role of Lead Agency”, replaced “Create a system for coordinated assessment and housing prioritization for the most chronic and vulnerable homeless individuals, youth and families” with “Monitor </w:t>
            </w:r>
            <w:r>
              <w:lastRenderedPageBreak/>
              <w:t>the system for coordinated assessment and housing prioritization for the most chronic and vulnerable homeless individuals, youth, and families in need of permanent housing options”</w:t>
            </w:r>
          </w:p>
        </w:tc>
      </w:tr>
      <w:tr w:rsidR="00D97A72">
        <w:tc>
          <w:tcPr>
            <w:tcW w:w="2694" w:type="dxa"/>
            <w:shd w:val="clear" w:color="auto" w:fill="auto"/>
          </w:tcPr>
          <w:p w:rsidR="00D97A72" w:rsidRDefault="00946C80">
            <w:r>
              <w:lastRenderedPageBreak/>
              <w:t>Roles &amp; Responsibilities</w:t>
            </w:r>
          </w:p>
        </w:tc>
        <w:tc>
          <w:tcPr>
            <w:tcW w:w="10256" w:type="dxa"/>
          </w:tcPr>
          <w:p w:rsidR="00D97A72" w:rsidRDefault="00946C80">
            <w:pPr>
              <w:numPr>
                <w:ilvl w:val="0"/>
                <w:numId w:val="4"/>
              </w:numPr>
              <w:ind w:left="360"/>
            </w:pPr>
            <w:r>
              <w:t xml:space="preserve">1st paragraph:  Added that the Continuum of Care is responsible for duties assigned by HUD </w:t>
            </w:r>
            <w:r>
              <w:rPr>
                <w:i/>
              </w:rPr>
              <w:t>and specified through the HEARTH Act…</w:t>
            </w:r>
          </w:p>
          <w:p w:rsidR="00D97A72" w:rsidRDefault="00946C80">
            <w:pPr>
              <w:numPr>
                <w:ilvl w:val="0"/>
                <w:numId w:val="4"/>
              </w:numPr>
              <w:ind w:left="360"/>
            </w:pPr>
            <w:r>
              <w:t xml:space="preserve">Added a second paragraph referencing that Board members shall adhere to the Conflict of Interest definitions set forth in CFR Section 578.95, and </w:t>
            </w:r>
            <w:proofErr w:type="gramStart"/>
            <w:r>
              <w:t>described  in</w:t>
            </w:r>
            <w:proofErr w:type="gramEnd"/>
            <w:r>
              <w:t xml:space="preserve"> CoC Board Policy #5.</w:t>
            </w:r>
          </w:p>
        </w:tc>
      </w:tr>
      <w:tr w:rsidR="00D97A72">
        <w:tc>
          <w:tcPr>
            <w:tcW w:w="2694" w:type="dxa"/>
            <w:shd w:val="clear" w:color="auto" w:fill="auto"/>
          </w:tcPr>
          <w:p w:rsidR="00D97A72" w:rsidRDefault="00946C80">
            <w:r>
              <w:t>New Section:  Board Policies</w:t>
            </w:r>
          </w:p>
        </w:tc>
        <w:tc>
          <w:tcPr>
            <w:tcW w:w="10256" w:type="dxa"/>
          </w:tcPr>
          <w:p w:rsidR="00D97A72" w:rsidRDefault="00946C80">
            <w:r>
              <w:t>New Section describes the establishment of policies to complement the Governance Charter, stating they are incorporated by reference and contained in Appendix H.  The section references CoC Board Policy #3:  Board Policy Development</w:t>
            </w:r>
          </w:p>
        </w:tc>
      </w:tr>
      <w:tr w:rsidR="00D97A72">
        <w:tc>
          <w:tcPr>
            <w:tcW w:w="2694" w:type="dxa"/>
            <w:shd w:val="clear" w:color="auto" w:fill="auto"/>
          </w:tcPr>
          <w:p w:rsidR="00D97A72" w:rsidRDefault="00946C80">
            <w:r>
              <w:t>Full Membership</w:t>
            </w:r>
          </w:p>
        </w:tc>
        <w:tc>
          <w:tcPr>
            <w:tcW w:w="10256" w:type="dxa"/>
          </w:tcPr>
          <w:p w:rsidR="00D97A72" w:rsidRDefault="00946C80">
            <w:pPr>
              <w:numPr>
                <w:ilvl w:val="0"/>
                <w:numId w:val="2"/>
              </w:numPr>
              <w:ind w:left="360"/>
            </w:pPr>
            <w:r>
              <w:t>1st paragraph:  Reference Board Policy #1:  Full Membership-Enrollment.</w:t>
            </w:r>
          </w:p>
          <w:p w:rsidR="00D97A72" w:rsidRDefault="00946C80">
            <w:pPr>
              <w:numPr>
                <w:ilvl w:val="0"/>
                <w:numId w:val="2"/>
              </w:numPr>
              <w:ind w:left="360"/>
            </w:pPr>
            <w:r>
              <w:t xml:space="preserve">Added a description of the type of memberships available and that individual and organization members whose annual membership dues are current are eligible to vote on items that come before the Full Membership.  Language was also added to specify that participation on standing and ad-hoc committees is limited to individuals who have a currently active individual or organizational CoC membership.  </w:t>
            </w:r>
          </w:p>
          <w:p w:rsidR="00D97A72" w:rsidRDefault="00946C80">
            <w:pPr>
              <w:numPr>
                <w:ilvl w:val="0"/>
                <w:numId w:val="2"/>
              </w:numPr>
              <w:ind w:left="360"/>
            </w:pPr>
            <w:proofErr w:type="gramStart"/>
            <w:r>
              <w:t>Added  “</w:t>
            </w:r>
            <w:proofErr w:type="gramEnd"/>
            <w:r>
              <w:t xml:space="preserve">Promote, support and implement strategic initiatives and activities that align with the </w:t>
            </w:r>
            <w:r>
              <w:rPr>
                <w:i/>
                <w:u w:val="single"/>
              </w:rPr>
              <w:t xml:space="preserve">Regional Community Action Plan to Prevent and End Homelessness in San Diego”, </w:t>
            </w:r>
            <w:r>
              <w:t>as the first dot point in the section.</w:t>
            </w:r>
          </w:p>
          <w:p w:rsidR="00D97A72" w:rsidRDefault="00946C80">
            <w:pPr>
              <w:numPr>
                <w:ilvl w:val="0"/>
                <w:numId w:val="2"/>
              </w:numPr>
              <w:ind w:left="360"/>
            </w:pPr>
            <w:r>
              <w:t>Increased the number of minimum meetings from twice per year to quarterly, with an additional annual meeting</w:t>
            </w:r>
          </w:p>
        </w:tc>
      </w:tr>
      <w:tr w:rsidR="00D97A72">
        <w:tc>
          <w:tcPr>
            <w:tcW w:w="2694" w:type="dxa"/>
            <w:shd w:val="clear" w:color="auto" w:fill="auto"/>
          </w:tcPr>
          <w:p w:rsidR="00D97A72" w:rsidRDefault="00946C80">
            <w:r>
              <w:t>CoC Board (updated section title - previously was “Advisory Board”)</w:t>
            </w:r>
          </w:p>
        </w:tc>
        <w:tc>
          <w:tcPr>
            <w:tcW w:w="10256" w:type="dxa"/>
          </w:tcPr>
          <w:p w:rsidR="00D97A72" w:rsidRDefault="00946C80">
            <w:pPr>
              <w:numPr>
                <w:ilvl w:val="0"/>
                <w:numId w:val="1"/>
              </w:numPr>
              <w:ind w:left="360"/>
            </w:pPr>
            <w:r>
              <w:t>Referenced CoC Board Policy #2:  Board and Committee Recruitment &amp; Selection, at the end of the first paragraph</w:t>
            </w:r>
          </w:p>
          <w:p w:rsidR="00D97A72" w:rsidRDefault="00946C80">
            <w:pPr>
              <w:numPr>
                <w:ilvl w:val="0"/>
                <w:numId w:val="1"/>
              </w:numPr>
              <w:ind w:left="360"/>
            </w:pPr>
            <w:r>
              <w:t xml:space="preserve">2nd dot point:  </w:t>
            </w:r>
            <w:proofErr w:type="gramStart"/>
            <w:r>
              <w:t>Removed  statement</w:t>
            </w:r>
            <w:proofErr w:type="gramEnd"/>
            <w:r>
              <w:t xml:space="preserve"> that the Board is responsible for establishing policies for code of conduct that includes conflict of interest, recusal, and terms of assistance</w:t>
            </w:r>
          </w:p>
          <w:p w:rsidR="00D97A72" w:rsidRDefault="00946C80">
            <w:pPr>
              <w:numPr>
                <w:ilvl w:val="0"/>
                <w:numId w:val="1"/>
              </w:numPr>
              <w:ind w:left="360"/>
            </w:pPr>
            <w:r>
              <w:lastRenderedPageBreak/>
              <w:t xml:space="preserve">4th dot point:  Replaced “Establish plans for reducing and ending homelessness in the Region” and the below two sub-points, with “Monitor the achievement of the goals and measures identified within the </w:t>
            </w:r>
            <w:r>
              <w:rPr>
                <w:i/>
                <w:u w:val="single"/>
              </w:rPr>
              <w:t>Regional Community Action Plan to Prevent and End Homelessness in San Diego.”</w:t>
            </w:r>
          </w:p>
          <w:p w:rsidR="00D97A72" w:rsidRDefault="00946C80">
            <w:pPr>
              <w:ind w:left="720"/>
              <w:rPr>
                <w:u w:val="single"/>
              </w:rPr>
            </w:pPr>
            <w:r>
              <w:rPr>
                <w:u w:val="single"/>
              </w:rPr>
              <w:t>Sub-Point removed:</w:t>
            </w:r>
          </w:p>
          <w:p w:rsidR="00D97A72" w:rsidRDefault="00946C80">
            <w:pPr>
              <w:numPr>
                <w:ilvl w:val="0"/>
                <w:numId w:val="10"/>
              </w:numPr>
              <w:ind w:left="1080"/>
            </w:pPr>
            <w:r>
              <w:t>Set regional goals and priorities for ending homelessness, including but not limited to HUD CoC and ESG targets</w:t>
            </w:r>
          </w:p>
          <w:p w:rsidR="00D97A72" w:rsidRDefault="00D97A72"/>
          <w:p w:rsidR="00D97A72" w:rsidRDefault="00946C80">
            <w:pPr>
              <w:numPr>
                <w:ilvl w:val="0"/>
                <w:numId w:val="8"/>
              </w:numPr>
              <w:ind w:left="360"/>
            </w:pPr>
            <w:r>
              <w:t>Added dot point:  Ensure relevant organizations, funders, and projects serving sub-</w:t>
            </w:r>
            <w:proofErr w:type="spellStart"/>
            <w:r>
              <w:t>populationsof</w:t>
            </w:r>
            <w:proofErr w:type="spellEnd"/>
            <w:r>
              <w:t xml:space="preserve"> people who are homeless are represented in planning and decision making</w:t>
            </w:r>
          </w:p>
          <w:p w:rsidR="00D97A72" w:rsidRDefault="00946C80">
            <w:pPr>
              <w:numPr>
                <w:ilvl w:val="0"/>
                <w:numId w:val="8"/>
              </w:numPr>
              <w:ind w:left="360"/>
            </w:pPr>
            <w:r>
              <w:t>Added dot point:  Build community awareness and collaboration to meet the diverse needs of all people experiencing homelessness</w:t>
            </w:r>
          </w:p>
          <w:p w:rsidR="00D97A72" w:rsidRDefault="00946C80">
            <w:pPr>
              <w:numPr>
                <w:ilvl w:val="0"/>
                <w:numId w:val="8"/>
              </w:numPr>
              <w:ind w:left="360"/>
            </w:pPr>
            <w:r>
              <w:t>Expanded language regarding the review, update and approval of the annual Charter by incorporating a reference to CoC Board Policy #4:  Updates to Governance Charter.</w:t>
            </w:r>
          </w:p>
          <w:p w:rsidR="00D97A72" w:rsidRDefault="00946C80" w:rsidP="00C26410">
            <w:pPr>
              <w:numPr>
                <w:ilvl w:val="0"/>
                <w:numId w:val="10"/>
              </w:numPr>
              <w:ind w:left="346" w:hanging="346"/>
            </w:pPr>
            <w:r>
              <w:t>Last dot point:  Revised to “Establish regional funding priorities for the competitive HUD NOFO”, removing the word “annual” to allow for unexpected NOFOs that may be released.  Removed sub-point “Authorize grant applications, raise and allocate funds, and approve sustainability plans” as this is a function of the RTFH Board.</w:t>
            </w:r>
          </w:p>
          <w:p w:rsidR="00D97A72" w:rsidRDefault="00946C80">
            <w:pPr>
              <w:numPr>
                <w:ilvl w:val="1"/>
                <w:numId w:val="10"/>
              </w:numPr>
            </w:pPr>
            <w:r>
              <w:t>Removed sub-point of authorizing grant applications, raising and allocating funds and approving sustainability plans, as this is the role of the RTFH Board, per the MOU</w:t>
            </w:r>
          </w:p>
          <w:p w:rsidR="00D97A72" w:rsidRDefault="00946C80">
            <w:pPr>
              <w:numPr>
                <w:ilvl w:val="0"/>
                <w:numId w:val="10"/>
              </w:numPr>
              <w:ind w:left="450"/>
            </w:pPr>
            <w:r>
              <w:t>Last paragraph:  Added a reference to CoC Board Policy #6:  Board Member Proxies, for those rare instances in which a Board member is unable to attend a meeting.</w:t>
            </w:r>
          </w:p>
        </w:tc>
      </w:tr>
      <w:tr w:rsidR="00D97A72">
        <w:tc>
          <w:tcPr>
            <w:tcW w:w="2694" w:type="dxa"/>
            <w:shd w:val="clear" w:color="auto" w:fill="auto"/>
          </w:tcPr>
          <w:p w:rsidR="00D97A72" w:rsidRDefault="00946C80">
            <w:r>
              <w:lastRenderedPageBreak/>
              <w:t>New Section:  Board Policies</w:t>
            </w:r>
          </w:p>
        </w:tc>
        <w:tc>
          <w:tcPr>
            <w:tcW w:w="10256" w:type="dxa"/>
          </w:tcPr>
          <w:p w:rsidR="00D97A72" w:rsidRDefault="00946C80">
            <w:pPr>
              <w:ind w:left="360" w:hanging="360"/>
            </w:pPr>
            <w:r>
              <w:t xml:space="preserve">Describes that Board Policies are in place to complement the Governance Charter and outline practices of the Board that are not included </w:t>
            </w:r>
            <w:proofErr w:type="gramStart"/>
            <w:r>
              <w:t>in  the</w:t>
            </w:r>
            <w:proofErr w:type="gramEnd"/>
            <w:r>
              <w:t xml:space="preserve"> Charter.  Appendix H was added and includes all Board policies.</w:t>
            </w:r>
          </w:p>
        </w:tc>
      </w:tr>
      <w:tr w:rsidR="00D97A72">
        <w:tc>
          <w:tcPr>
            <w:tcW w:w="2694" w:type="dxa"/>
            <w:shd w:val="clear" w:color="auto" w:fill="auto"/>
          </w:tcPr>
          <w:p w:rsidR="00D97A72" w:rsidRDefault="00946C80">
            <w:r>
              <w:lastRenderedPageBreak/>
              <w:t>Board Officers (updated section title - previously was “Advisory Board Officers”)</w:t>
            </w:r>
          </w:p>
        </w:tc>
        <w:tc>
          <w:tcPr>
            <w:tcW w:w="10256" w:type="dxa"/>
            <w:shd w:val="clear" w:color="auto" w:fill="auto"/>
          </w:tcPr>
          <w:p w:rsidR="00D97A72" w:rsidRPr="001B7088" w:rsidRDefault="00946C80">
            <w:pPr>
              <w:numPr>
                <w:ilvl w:val="0"/>
                <w:numId w:val="3"/>
              </w:numPr>
              <w:pBdr>
                <w:top w:val="nil"/>
                <w:left w:val="nil"/>
                <w:bottom w:val="nil"/>
                <w:right w:val="nil"/>
                <w:between w:val="nil"/>
              </w:pBdr>
              <w:spacing w:line="259" w:lineRule="auto"/>
            </w:pPr>
            <w:r>
              <w:rPr>
                <w:color w:val="000000"/>
              </w:rPr>
              <w:t>Specified that the Person with Lived Experience and the Service Provider Representative, are individuals from each of those designated seats</w:t>
            </w:r>
          </w:p>
          <w:p w:rsidR="001B7088" w:rsidRDefault="001B7088">
            <w:pPr>
              <w:numPr>
                <w:ilvl w:val="0"/>
                <w:numId w:val="3"/>
              </w:numPr>
              <w:pBdr>
                <w:top w:val="nil"/>
                <w:left w:val="nil"/>
                <w:bottom w:val="nil"/>
                <w:right w:val="nil"/>
                <w:between w:val="nil"/>
              </w:pBdr>
              <w:spacing w:line="259" w:lineRule="auto"/>
            </w:pPr>
            <w:r>
              <w:rPr>
                <w:color w:val="000000"/>
              </w:rPr>
              <w:t>Specified that the Person with Lived Experience is a “Person with Lived Experience as Currently or Formerly Homeless”</w:t>
            </w:r>
          </w:p>
          <w:p w:rsidR="00D97A72" w:rsidRDefault="00946C80">
            <w:pPr>
              <w:numPr>
                <w:ilvl w:val="0"/>
                <w:numId w:val="3"/>
              </w:numPr>
              <w:pBdr>
                <w:top w:val="nil"/>
                <w:left w:val="nil"/>
                <w:bottom w:val="nil"/>
                <w:right w:val="nil"/>
                <w:between w:val="nil"/>
              </w:pBdr>
              <w:spacing w:line="259" w:lineRule="auto"/>
            </w:pPr>
            <w:r>
              <w:rPr>
                <w:color w:val="000000"/>
              </w:rPr>
              <w:t>Updated the final paragraph to reflect that the Governance Advisory Committee’s nomination of Board Officers are to be approved by the Board Chair and the CoC L</w:t>
            </w:r>
            <w:r>
              <w:t>e</w:t>
            </w:r>
            <w:r>
              <w:rPr>
                <w:color w:val="000000"/>
              </w:rPr>
              <w:t>ad Agency CEO prior to approval by the full Advisory Board.</w:t>
            </w:r>
          </w:p>
        </w:tc>
      </w:tr>
      <w:tr w:rsidR="00D97A72">
        <w:tc>
          <w:tcPr>
            <w:tcW w:w="2694" w:type="dxa"/>
          </w:tcPr>
          <w:p w:rsidR="00D97A72" w:rsidRDefault="00946C80">
            <w:r>
              <w:t>Board Executive Committee (updated section title - previously was “Advisory Board Executive Committee”)</w:t>
            </w:r>
          </w:p>
        </w:tc>
        <w:tc>
          <w:tcPr>
            <w:tcW w:w="10256" w:type="dxa"/>
          </w:tcPr>
          <w:p w:rsidR="00D97A72" w:rsidRDefault="00946C80">
            <w:pPr>
              <w:pBdr>
                <w:top w:val="nil"/>
                <w:left w:val="nil"/>
                <w:bottom w:val="nil"/>
                <w:right w:val="nil"/>
                <w:between w:val="nil"/>
              </w:pBdr>
              <w:spacing w:after="160" w:line="259" w:lineRule="auto"/>
            </w:pPr>
            <w:r>
              <w:t xml:space="preserve">2nd paragraph:  Clarified that the Executive Committee’s actions are reported no later than the next </w:t>
            </w:r>
            <w:r>
              <w:rPr>
                <w:i/>
              </w:rPr>
              <w:t>full</w:t>
            </w:r>
            <w:r>
              <w:t xml:space="preserve"> meeting of the Board.</w:t>
            </w:r>
          </w:p>
        </w:tc>
      </w:tr>
      <w:tr w:rsidR="00D97A72">
        <w:tc>
          <w:tcPr>
            <w:tcW w:w="2694" w:type="dxa"/>
          </w:tcPr>
          <w:p w:rsidR="00D97A72" w:rsidRDefault="00946C80">
            <w:r>
              <w:t>Board Committees (updated section title - previously was “Advisory Board Committees”)</w:t>
            </w:r>
          </w:p>
        </w:tc>
        <w:tc>
          <w:tcPr>
            <w:tcW w:w="10256" w:type="dxa"/>
          </w:tcPr>
          <w:p w:rsidR="00D97A72" w:rsidRDefault="00946C80">
            <w:pPr>
              <w:numPr>
                <w:ilvl w:val="0"/>
                <w:numId w:val="11"/>
              </w:numPr>
              <w:pBdr>
                <w:top w:val="nil"/>
                <w:left w:val="nil"/>
                <w:bottom w:val="nil"/>
                <w:right w:val="nil"/>
                <w:between w:val="nil"/>
              </w:pBdr>
              <w:spacing w:line="259" w:lineRule="auto"/>
              <w:ind w:left="360"/>
            </w:pPr>
            <w:r>
              <w:t>Referenced CoC Board Policy #7:  Standing and Ad Hoc Committees</w:t>
            </w:r>
          </w:p>
          <w:p w:rsidR="00D97A72" w:rsidRDefault="00946C80">
            <w:pPr>
              <w:numPr>
                <w:ilvl w:val="0"/>
                <w:numId w:val="11"/>
              </w:numPr>
              <w:pBdr>
                <w:top w:val="nil"/>
                <w:left w:val="nil"/>
                <w:bottom w:val="nil"/>
                <w:right w:val="nil"/>
                <w:between w:val="nil"/>
              </w:pBdr>
              <w:spacing w:after="160" w:line="259" w:lineRule="auto"/>
              <w:ind w:left="360"/>
            </w:pPr>
            <w:r>
              <w:t>Updated language to align with CoC Board Policy on Standing and Ad-Hoc Committees</w:t>
            </w:r>
          </w:p>
        </w:tc>
      </w:tr>
      <w:tr w:rsidR="00D97A72">
        <w:tc>
          <w:tcPr>
            <w:tcW w:w="2694" w:type="dxa"/>
          </w:tcPr>
          <w:p w:rsidR="00D97A72" w:rsidRDefault="00946C80">
            <w:r>
              <w:t>Evaluation Advisory Committee</w:t>
            </w:r>
          </w:p>
        </w:tc>
        <w:tc>
          <w:tcPr>
            <w:tcW w:w="10256" w:type="dxa"/>
          </w:tcPr>
          <w:p w:rsidR="00D97A72" w:rsidRDefault="00946C80">
            <w:pPr>
              <w:numPr>
                <w:ilvl w:val="0"/>
                <w:numId w:val="9"/>
              </w:numPr>
              <w:pBdr>
                <w:top w:val="nil"/>
                <w:left w:val="nil"/>
                <w:bottom w:val="nil"/>
                <w:right w:val="nil"/>
                <w:between w:val="nil"/>
              </w:pBdr>
              <w:spacing w:line="259" w:lineRule="auto"/>
              <w:ind w:left="360"/>
            </w:pPr>
            <w:r>
              <w:t xml:space="preserve">Included “Action” in the name of the Regional Community </w:t>
            </w:r>
            <w:r>
              <w:rPr>
                <w:i/>
              </w:rPr>
              <w:t>Action</w:t>
            </w:r>
            <w:r>
              <w:t xml:space="preserve"> Plan to Prevent and End Homelessness in San Diego</w:t>
            </w:r>
          </w:p>
          <w:p w:rsidR="00D97A72" w:rsidRDefault="00946C80">
            <w:pPr>
              <w:numPr>
                <w:ilvl w:val="0"/>
                <w:numId w:val="9"/>
              </w:numPr>
              <w:pBdr>
                <w:top w:val="nil"/>
                <w:left w:val="nil"/>
                <w:bottom w:val="nil"/>
                <w:right w:val="nil"/>
                <w:between w:val="nil"/>
              </w:pBdr>
              <w:spacing w:after="160" w:line="259" w:lineRule="auto"/>
              <w:ind w:left="360"/>
            </w:pPr>
            <w:r>
              <w:t>Spelled out acronyms in the Data Sub-Committee section</w:t>
            </w:r>
          </w:p>
        </w:tc>
      </w:tr>
      <w:tr w:rsidR="00D97A72">
        <w:tc>
          <w:tcPr>
            <w:tcW w:w="2694" w:type="dxa"/>
          </w:tcPr>
          <w:p w:rsidR="00D97A72" w:rsidRDefault="00946C80">
            <w:r>
              <w:t>Veterans Consortium</w:t>
            </w:r>
          </w:p>
        </w:tc>
        <w:tc>
          <w:tcPr>
            <w:tcW w:w="10256" w:type="dxa"/>
          </w:tcPr>
          <w:p w:rsidR="00D97A72" w:rsidRDefault="00946C80">
            <w:pPr>
              <w:pBdr>
                <w:top w:val="nil"/>
                <w:left w:val="nil"/>
                <w:bottom w:val="nil"/>
                <w:right w:val="nil"/>
                <w:between w:val="nil"/>
              </w:pBdr>
              <w:spacing w:after="160" w:line="259" w:lineRule="auto"/>
            </w:pPr>
            <w:r>
              <w:t>Updated description to align with description on website</w:t>
            </w:r>
          </w:p>
        </w:tc>
      </w:tr>
      <w:tr w:rsidR="00D97A72">
        <w:tc>
          <w:tcPr>
            <w:tcW w:w="2694" w:type="dxa"/>
          </w:tcPr>
          <w:p w:rsidR="00D97A72" w:rsidRDefault="00946C80">
            <w:r>
              <w:lastRenderedPageBreak/>
              <w:t>Ad Hoc Committees</w:t>
            </w:r>
          </w:p>
        </w:tc>
        <w:tc>
          <w:tcPr>
            <w:tcW w:w="10256" w:type="dxa"/>
          </w:tcPr>
          <w:p w:rsidR="00D97A72" w:rsidRDefault="00946C80">
            <w:pPr>
              <w:pBdr>
                <w:top w:val="nil"/>
                <w:left w:val="nil"/>
                <w:bottom w:val="nil"/>
                <w:right w:val="nil"/>
                <w:between w:val="nil"/>
              </w:pBdr>
              <w:spacing w:after="160" w:line="259" w:lineRule="auto"/>
              <w:rPr>
                <w:color w:val="000000"/>
              </w:rPr>
            </w:pPr>
            <w:r>
              <w:t>Removed statement that they report to one of the established Continuum of Care groups, which may include a Committee.    Revised sentence: “These groups perform specific functions associated with completion of the task and are guided by and report to the Advisory Board.”</w:t>
            </w:r>
          </w:p>
        </w:tc>
      </w:tr>
      <w:tr w:rsidR="00D97A72">
        <w:tc>
          <w:tcPr>
            <w:tcW w:w="2694" w:type="dxa"/>
          </w:tcPr>
          <w:p w:rsidR="00D97A72" w:rsidRDefault="00946C80">
            <w:r>
              <w:t>Ad Hoc Committee on Addressing Homelessness Among Black San Diegans</w:t>
            </w:r>
          </w:p>
        </w:tc>
        <w:tc>
          <w:tcPr>
            <w:tcW w:w="10256" w:type="dxa"/>
          </w:tcPr>
          <w:p w:rsidR="00D97A72" w:rsidRDefault="00946C80">
            <w:pPr>
              <w:pBdr>
                <w:top w:val="nil"/>
                <w:left w:val="nil"/>
                <w:bottom w:val="nil"/>
                <w:right w:val="nil"/>
                <w:between w:val="nil"/>
              </w:pBdr>
              <w:spacing w:after="160" w:line="259" w:lineRule="auto"/>
              <w:ind w:left="360" w:hanging="360"/>
            </w:pPr>
            <w:r>
              <w:t>Updated statistics to reflect 2022 PITC data, and 2021 Census Bureau</w:t>
            </w:r>
          </w:p>
        </w:tc>
      </w:tr>
      <w:tr w:rsidR="00D97A72">
        <w:tc>
          <w:tcPr>
            <w:tcW w:w="2694" w:type="dxa"/>
          </w:tcPr>
          <w:p w:rsidR="00D97A72" w:rsidRDefault="00946C80">
            <w:r>
              <w:t>Health and Homelessness Ad-Hoc Committee</w:t>
            </w:r>
          </w:p>
        </w:tc>
        <w:tc>
          <w:tcPr>
            <w:tcW w:w="10256" w:type="dxa"/>
          </w:tcPr>
          <w:p w:rsidR="00D97A72" w:rsidRDefault="00946C80">
            <w:pPr>
              <w:pBdr>
                <w:top w:val="nil"/>
                <w:left w:val="nil"/>
                <w:bottom w:val="nil"/>
                <w:right w:val="nil"/>
                <w:between w:val="nil"/>
              </w:pBdr>
              <w:spacing w:after="160" w:line="259" w:lineRule="auto"/>
            </w:pPr>
            <w:r>
              <w:t>Removed statement that one of the areas the Committee is working on is “...identifying opportunities to expand data sharing between the health and homeless systems….”</w:t>
            </w:r>
          </w:p>
        </w:tc>
      </w:tr>
      <w:tr w:rsidR="00D97A72">
        <w:tc>
          <w:tcPr>
            <w:tcW w:w="2694" w:type="dxa"/>
          </w:tcPr>
          <w:p w:rsidR="00D97A72" w:rsidRDefault="00946C80">
            <w:r>
              <w:t>Record of Changes</w:t>
            </w:r>
          </w:p>
        </w:tc>
        <w:tc>
          <w:tcPr>
            <w:tcW w:w="10256" w:type="dxa"/>
          </w:tcPr>
          <w:p w:rsidR="00D97A72" w:rsidRDefault="00946C80">
            <w:pPr>
              <w:pBdr>
                <w:top w:val="nil"/>
                <w:left w:val="nil"/>
                <w:bottom w:val="nil"/>
                <w:right w:val="nil"/>
                <w:between w:val="nil"/>
              </w:pBdr>
              <w:spacing w:after="160" w:line="259" w:lineRule="auto"/>
            </w:pPr>
            <w:r>
              <w:rPr>
                <w:color w:val="000000"/>
              </w:rPr>
              <w:t>Updated approval date for Version 9.0, and added summary of changes</w:t>
            </w:r>
          </w:p>
        </w:tc>
      </w:tr>
      <w:tr w:rsidR="00D97A72">
        <w:tc>
          <w:tcPr>
            <w:tcW w:w="2694" w:type="dxa"/>
          </w:tcPr>
          <w:p w:rsidR="00D97A72" w:rsidRDefault="00946C80">
            <w:r>
              <w:t>Appendix B:  Acronyms</w:t>
            </w:r>
          </w:p>
        </w:tc>
        <w:tc>
          <w:tcPr>
            <w:tcW w:w="10256" w:type="dxa"/>
          </w:tcPr>
          <w:p w:rsidR="00D97A72" w:rsidRDefault="00946C80">
            <w:pPr>
              <w:pBdr>
                <w:top w:val="nil"/>
                <w:left w:val="nil"/>
                <w:bottom w:val="nil"/>
                <w:right w:val="nil"/>
                <w:between w:val="nil"/>
              </w:pBdr>
              <w:spacing w:after="160" w:line="259" w:lineRule="auto"/>
              <w:rPr>
                <w:color w:val="000000"/>
              </w:rPr>
            </w:pPr>
            <w:r>
              <w:t>Updated</w:t>
            </w:r>
          </w:p>
        </w:tc>
      </w:tr>
      <w:tr w:rsidR="00D97A72">
        <w:tc>
          <w:tcPr>
            <w:tcW w:w="2694" w:type="dxa"/>
          </w:tcPr>
          <w:p w:rsidR="00D97A72" w:rsidRDefault="00946C80">
            <w:r>
              <w:t>Appendix F:  Continuum of Care Board Structure</w:t>
            </w:r>
          </w:p>
        </w:tc>
        <w:tc>
          <w:tcPr>
            <w:tcW w:w="10256" w:type="dxa"/>
          </w:tcPr>
          <w:p w:rsidR="00D97A72" w:rsidRDefault="00946C80">
            <w:pPr>
              <w:pBdr>
                <w:top w:val="nil"/>
                <w:left w:val="nil"/>
                <w:bottom w:val="nil"/>
                <w:right w:val="nil"/>
                <w:between w:val="nil"/>
              </w:pBdr>
              <w:spacing w:after="160" w:line="259" w:lineRule="auto"/>
            </w:pPr>
            <w:bookmarkStart w:id="1" w:name="_heading=h.30j0zll" w:colFirst="0" w:colLast="0"/>
            <w:bookmarkEnd w:id="1"/>
            <w:r>
              <w:t>Specified Community Stakeholder Seats are “Designated” seats</w:t>
            </w:r>
          </w:p>
        </w:tc>
      </w:tr>
      <w:tr w:rsidR="00D97A72">
        <w:tc>
          <w:tcPr>
            <w:tcW w:w="2694" w:type="dxa"/>
          </w:tcPr>
          <w:p w:rsidR="00D97A72" w:rsidRDefault="00946C80">
            <w:r>
              <w:t>Appendix G:  CoC Roles and Responsibilities</w:t>
            </w:r>
          </w:p>
        </w:tc>
        <w:tc>
          <w:tcPr>
            <w:tcW w:w="10256" w:type="dxa"/>
          </w:tcPr>
          <w:p w:rsidR="00D97A72" w:rsidRDefault="00946C80">
            <w:pPr>
              <w:numPr>
                <w:ilvl w:val="0"/>
                <w:numId w:val="7"/>
              </w:numPr>
              <w:pBdr>
                <w:top w:val="nil"/>
                <w:left w:val="nil"/>
                <w:bottom w:val="nil"/>
                <w:right w:val="nil"/>
                <w:between w:val="nil"/>
              </w:pBdr>
              <w:spacing w:line="259" w:lineRule="auto"/>
              <w:ind w:left="360"/>
            </w:pPr>
            <w:bookmarkStart w:id="2" w:name="_heading=h.1fob9te" w:colFirst="0" w:colLast="0"/>
            <w:bookmarkEnd w:id="2"/>
            <w:r>
              <w:t>Reorganized categories and activities into specific functions of the CoC</w:t>
            </w:r>
          </w:p>
          <w:p w:rsidR="00D97A72" w:rsidRDefault="00946C80">
            <w:pPr>
              <w:numPr>
                <w:ilvl w:val="0"/>
                <w:numId w:val="7"/>
              </w:numPr>
              <w:pBdr>
                <w:top w:val="nil"/>
                <w:left w:val="nil"/>
                <w:bottom w:val="nil"/>
                <w:right w:val="nil"/>
                <w:between w:val="nil"/>
              </w:pBdr>
              <w:spacing w:line="259" w:lineRule="auto"/>
              <w:ind w:left="360"/>
            </w:pPr>
            <w:bookmarkStart w:id="3" w:name="_heading=h.tu06sj5nyy4c" w:colFirst="0" w:colLast="0"/>
            <w:bookmarkEnd w:id="3"/>
            <w:r>
              <w:t xml:space="preserve">Added activities in the category entitled “Conduct policy, advocacy, and research activities” related to advocating for adoption of policies throughout the region that are consistent with the </w:t>
            </w:r>
            <w:r>
              <w:rPr>
                <w:i/>
              </w:rPr>
              <w:t xml:space="preserve">Regional Community Action Plan to Prevent and End Homelessness in San </w:t>
            </w:r>
            <w:proofErr w:type="gramStart"/>
            <w:r>
              <w:rPr>
                <w:i/>
              </w:rPr>
              <w:t xml:space="preserve">Diego, </w:t>
            </w:r>
            <w:r>
              <w:t xml:space="preserve"> and</w:t>
            </w:r>
            <w:proofErr w:type="gramEnd"/>
            <w:r>
              <w:t xml:space="preserve"> advocating in the community for Board-adopted policies that have been developed through the committees.</w:t>
            </w:r>
          </w:p>
          <w:p w:rsidR="00D97A72" w:rsidRDefault="00D97A72">
            <w:pPr>
              <w:pBdr>
                <w:top w:val="nil"/>
                <w:left w:val="nil"/>
                <w:bottom w:val="nil"/>
                <w:right w:val="nil"/>
                <w:between w:val="nil"/>
              </w:pBdr>
              <w:spacing w:after="160" w:line="259" w:lineRule="auto"/>
              <w:ind w:left="360"/>
            </w:pPr>
          </w:p>
        </w:tc>
      </w:tr>
      <w:tr w:rsidR="00D97A72">
        <w:tc>
          <w:tcPr>
            <w:tcW w:w="2694" w:type="dxa"/>
          </w:tcPr>
          <w:p w:rsidR="00D97A72" w:rsidRDefault="00946C80">
            <w:r>
              <w:t>New:  Appendix H:  Board Policies</w:t>
            </w:r>
          </w:p>
        </w:tc>
        <w:tc>
          <w:tcPr>
            <w:tcW w:w="10256" w:type="dxa"/>
          </w:tcPr>
          <w:p w:rsidR="00D97A72" w:rsidRDefault="00946C80">
            <w:pPr>
              <w:pBdr>
                <w:top w:val="nil"/>
                <w:left w:val="nil"/>
                <w:bottom w:val="nil"/>
                <w:right w:val="nil"/>
                <w:between w:val="nil"/>
              </w:pBdr>
              <w:spacing w:line="259" w:lineRule="auto"/>
              <w:ind w:left="360" w:hanging="360"/>
            </w:pPr>
            <w:r>
              <w:t>Includes the Board Policy Matrix, followed by each of the approved Board Policies</w:t>
            </w:r>
          </w:p>
        </w:tc>
      </w:tr>
    </w:tbl>
    <w:p w:rsidR="00D97A72" w:rsidRDefault="00D97A72" w:rsidP="001B7088">
      <w:pPr>
        <w:rPr>
          <w:b/>
        </w:rPr>
      </w:pPr>
    </w:p>
    <w:sectPr w:rsidR="00D97A72">
      <w:headerReference w:type="default" r:id="rId8"/>
      <w:footerReference w:type="default" r:id="rId9"/>
      <w:pgSz w:w="15840" w:h="12240" w:orient="landscape"/>
      <w:pgMar w:top="1440" w:right="1440" w:bottom="1440" w:left="1440" w:header="720"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6FA" w:rsidRDefault="001C26FA">
      <w:pPr>
        <w:spacing w:after="0" w:line="240" w:lineRule="auto"/>
      </w:pPr>
      <w:r>
        <w:separator/>
      </w:r>
    </w:p>
  </w:endnote>
  <w:endnote w:type="continuationSeparator" w:id="0">
    <w:p w:rsidR="001C26FA" w:rsidRDefault="001C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A72" w:rsidRDefault="00946C8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0B5C">
      <w:rPr>
        <w:noProof/>
        <w:color w:val="000000"/>
      </w:rPr>
      <w:t>1</w:t>
    </w:r>
    <w:r>
      <w:rPr>
        <w:color w:val="000000"/>
      </w:rPr>
      <w:fldChar w:fldCharType="end"/>
    </w:r>
  </w:p>
  <w:p w:rsidR="00D97A72" w:rsidRDefault="00D97A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6FA" w:rsidRDefault="001C26FA">
      <w:pPr>
        <w:spacing w:after="0" w:line="240" w:lineRule="auto"/>
      </w:pPr>
      <w:r>
        <w:separator/>
      </w:r>
    </w:p>
  </w:footnote>
  <w:footnote w:type="continuationSeparator" w:id="0">
    <w:p w:rsidR="001C26FA" w:rsidRDefault="001C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A72" w:rsidRDefault="00946C8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8139113" cy="18517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39113" cy="1851700"/>
                  </a:xfrm>
                  <a:prstGeom prst="rect">
                    <a:avLst/>
                  </a:prstGeom>
                  <a:ln/>
                </pic:spPr>
              </pic:pic>
            </a:graphicData>
          </a:graphic>
        </wp:inline>
      </w:drawing>
    </w:r>
  </w:p>
  <w:p w:rsidR="00D97A72" w:rsidRDefault="00D97A7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2C31"/>
    <w:multiLevelType w:val="multilevel"/>
    <w:tmpl w:val="29725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DF15E7"/>
    <w:multiLevelType w:val="multilevel"/>
    <w:tmpl w:val="EC9C9DF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15:restartNumberingAfterBreak="0">
    <w:nsid w:val="26CC0A37"/>
    <w:multiLevelType w:val="multilevel"/>
    <w:tmpl w:val="43CC7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B6564F"/>
    <w:multiLevelType w:val="multilevel"/>
    <w:tmpl w:val="C7405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A144D90"/>
    <w:multiLevelType w:val="multilevel"/>
    <w:tmpl w:val="9CFCF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8A1EFB"/>
    <w:multiLevelType w:val="multilevel"/>
    <w:tmpl w:val="51D85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360CBE"/>
    <w:multiLevelType w:val="multilevel"/>
    <w:tmpl w:val="EF4CC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E57477"/>
    <w:multiLevelType w:val="multilevel"/>
    <w:tmpl w:val="6F4C2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892385"/>
    <w:multiLevelType w:val="multilevel"/>
    <w:tmpl w:val="B248F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5F43B3"/>
    <w:multiLevelType w:val="multilevel"/>
    <w:tmpl w:val="D30E5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474817"/>
    <w:multiLevelType w:val="multilevel"/>
    <w:tmpl w:val="BEA42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2208E7"/>
    <w:multiLevelType w:val="multilevel"/>
    <w:tmpl w:val="69B25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9085202">
    <w:abstractNumId w:val="9"/>
  </w:num>
  <w:num w:numId="2" w16cid:durableId="1401176376">
    <w:abstractNumId w:val="6"/>
  </w:num>
  <w:num w:numId="3" w16cid:durableId="874581129">
    <w:abstractNumId w:val="3"/>
  </w:num>
  <w:num w:numId="4" w16cid:durableId="1886796869">
    <w:abstractNumId w:val="0"/>
  </w:num>
  <w:num w:numId="5" w16cid:durableId="1017197434">
    <w:abstractNumId w:val="4"/>
  </w:num>
  <w:num w:numId="6" w16cid:durableId="1583953198">
    <w:abstractNumId w:val="5"/>
  </w:num>
  <w:num w:numId="7" w16cid:durableId="73557223">
    <w:abstractNumId w:val="7"/>
  </w:num>
  <w:num w:numId="8" w16cid:durableId="1607075987">
    <w:abstractNumId w:val="8"/>
  </w:num>
  <w:num w:numId="9" w16cid:durableId="1699155931">
    <w:abstractNumId w:val="11"/>
  </w:num>
  <w:num w:numId="10" w16cid:durableId="1803571047">
    <w:abstractNumId w:val="2"/>
  </w:num>
  <w:num w:numId="11" w16cid:durableId="64692918">
    <w:abstractNumId w:val="10"/>
  </w:num>
  <w:num w:numId="12" w16cid:durableId="14262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72"/>
    <w:rsid w:val="001B7088"/>
    <w:rsid w:val="001C26FA"/>
    <w:rsid w:val="002877A6"/>
    <w:rsid w:val="00946C80"/>
    <w:rsid w:val="00C26410"/>
    <w:rsid w:val="00D97A72"/>
    <w:rsid w:val="00FA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6EDDF-F3B6-44BB-9A52-E74FCA48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26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9"/>
  </w:style>
  <w:style w:type="paragraph" w:styleId="Footer">
    <w:name w:val="footer"/>
    <w:basedOn w:val="Normal"/>
    <w:link w:val="FooterChar"/>
    <w:uiPriority w:val="99"/>
    <w:unhideWhenUsed/>
    <w:rsid w:val="00E26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9"/>
  </w:style>
  <w:style w:type="table" w:styleId="TableGrid">
    <w:name w:val="Table Grid"/>
    <w:basedOn w:val="TableNormal"/>
    <w:uiPriority w:val="39"/>
    <w:rsid w:val="00E2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73C"/>
    <w:pPr>
      <w:ind w:left="720"/>
      <w:contextualSpacing/>
    </w:pPr>
  </w:style>
  <w:style w:type="paragraph" w:styleId="BalloonText">
    <w:name w:val="Balloon Text"/>
    <w:basedOn w:val="Normal"/>
    <w:link w:val="BalloonTextChar"/>
    <w:uiPriority w:val="99"/>
    <w:semiHidden/>
    <w:unhideWhenUsed/>
    <w:rsid w:val="00CB4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82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Nlz4NgF4KGBTiRJg2erRC3GqzQ==">AMUW2mX2DpMwoh8O7TZWSwuG7MQmERj8te12fISPKpgE2e2CjvSB7g+qu7gss0zgkFjjfTcdZ+7J5U/m1W+O65xi50Ho6P6pSwGoEjVMS6k2X5AUYK02VnoY4t80yuiFJW3eAEhPJT750VGRW3dW4NZD467h1TmOGf05HyfEO4+6uJaprIgxHMlIhz2cB2pu9/hjyYs+mnnOfr+Q4sQndadlgdlwrouc7w==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Bower</dc:creator>
  <cp:lastModifiedBy>Susan Bower</cp:lastModifiedBy>
  <cp:revision>2</cp:revision>
  <dcterms:created xsi:type="dcterms:W3CDTF">2023-03-01T20:45:00Z</dcterms:created>
  <dcterms:modified xsi:type="dcterms:W3CDTF">2023-03-01T20:45:00Z</dcterms:modified>
</cp:coreProperties>
</file>